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52626" w14:textId="77777777" w:rsidR="009B35D0" w:rsidRPr="009D4D3C" w:rsidRDefault="009B35D0" w:rsidP="009B35D0">
      <w:pPr>
        <w:rPr>
          <w:rFonts w:ascii="Arial" w:hAnsi="Arial" w:cs="Arial"/>
          <w:color w:val="538135" w:themeColor="accent6" w:themeShade="BF"/>
          <w:sz w:val="24"/>
          <w:szCs w:val="24"/>
          <w:u w:val="single"/>
        </w:rPr>
      </w:pPr>
      <w:r w:rsidRPr="009D4D3C">
        <w:rPr>
          <w:rFonts w:ascii="Arial" w:hAnsi="Arial" w:cs="Arial"/>
          <w:b/>
          <w:bCs/>
          <w:color w:val="538135" w:themeColor="accent6" w:themeShade="BF"/>
          <w:sz w:val="24"/>
          <w:szCs w:val="24"/>
          <w:u w:val="single"/>
        </w:rPr>
        <w:t xml:space="preserve">Alex Pollard – </w:t>
      </w:r>
      <w:r w:rsidRPr="009D4D3C">
        <w:rPr>
          <w:rFonts w:ascii="Arial" w:hAnsi="Arial" w:cs="Arial"/>
          <w:b/>
          <w:color w:val="538135" w:themeColor="accent6" w:themeShade="BF"/>
          <w:sz w:val="24"/>
          <w:szCs w:val="24"/>
          <w:u w:val="single"/>
        </w:rPr>
        <w:t>Restorative considerations for the older person with oral cancer: featuring the recently published Oral and dental management of patients before, during and after cancer therapy guidelines</w:t>
      </w:r>
    </w:p>
    <w:p w14:paraId="0CC5445E" w14:textId="77777777" w:rsidR="003F3491" w:rsidRPr="009D4D3C" w:rsidRDefault="003F3491" w:rsidP="009B35D0">
      <w:pPr>
        <w:rPr>
          <w:rFonts w:ascii="Arial" w:hAnsi="Arial" w:cs="Arial"/>
          <w:b/>
          <w:bCs/>
          <w:sz w:val="24"/>
          <w:szCs w:val="24"/>
        </w:rPr>
      </w:pPr>
    </w:p>
    <w:p w14:paraId="06DC8558" w14:textId="77777777" w:rsidR="009B35D0" w:rsidRPr="009D4D3C" w:rsidRDefault="009B35D0" w:rsidP="009B35D0">
      <w:pPr>
        <w:rPr>
          <w:rFonts w:ascii="Arial" w:hAnsi="Arial" w:cs="Arial"/>
          <w:b/>
          <w:bCs/>
          <w:sz w:val="24"/>
          <w:szCs w:val="24"/>
        </w:rPr>
      </w:pPr>
      <w:r w:rsidRPr="009D4D3C">
        <w:rPr>
          <w:rFonts w:ascii="Arial" w:hAnsi="Arial" w:cs="Arial"/>
          <w:b/>
          <w:bCs/>
          <w:sz w:val="24"/>
          <w:szCs w:val="24"/>
        </w:rPr>
        <w:t>Aim</w:t>
      </w:r>
    </w:p>
    <w:p w14:paraId="54F4477A" w14:textId="77777777" w:rsidR="009B35D0" w:rsidRPr="009D4D3C" w:rsidRDefault="009B35D0" w:rsidP="009B35D0">
      <w:pPr>
        <w:rPr>
          <w:rFonts w:ascii="Arial" w:eastAsiaTheme="majorEastAsia" w:hAnsi="Arial" w:cs="Arial"/>
          <w:b/>
          <w:bCs/>
          <w:color w:val="000000"/>
          <w:sz w:val="24"/>
          <w:szCs w:val="24"/>
        </w:rPr>
      </w:pPr>
      <w:r w:rsidRPr="009D4D3C">
        <w:rPr>
          <w:rFonts w:ascii="Arial" w:hAnsi="Arial" w:cs="Arial"/>
          <w:sz w:val="24"/>
          <w:szCs w:val="24"/>
        </w:rPr>
        <w:t>To provide an overview of the restorative dental considerations for older people with oral cancer, with reference to the recently published Oral and dental management of patients before, during and after cancer therapy guidelines.</w:t>
      </w:r>
      <w:r w:rsidRPr="009D4D3C">
        <w:rPr>
          <w:rFonts w:ascii="Arial" w:eastAsiaTheme="majorEastAsia" w:hAnsi="Arial" w:cs="Arial"/>
          <w:b/>
          <w:bCs/>
          <w:color w:val="000000"/>
          <w:sz w:val="24"/>
          <w:szCs w:val="24"/>
        </w:rPr>
        <w:br/>
      </w:r>
    </w:p>
    <w:p w14:paraId="3A66EA3D" w14:textId="77777777" w:rsidR="009B35D0" w:rsidRPr="009D4D3C" w:rsidRDefault="009B35D0" w:rsidP="009B35D0">
      <w:pPr>
        <w:rPr>
          <w:rFonts w:ascii="Arial" w:hAnsi="Arial" w:cs="Arial"/>
          <w:b/>
          <w:bCs/>
          <w:sz w:val="24"/>
          <w:szCs w:val="24"/>
        </w:rPr>
      </w:pPr>
      <w:r w:rsidRPr="009D4D3C">
        <w:rPr>
          <w:rFonts w:ascii="Arial" w:hAnsi="Arial" w:cs="Arial"/>
          <w:b/>
          <w:bCs/>
          <w:sz w:val="24"/>
          <w:szCs w:val="24"/>
        </w:rPr>
        <w:t>Objectives</w:t>
      </w:r>
    </w:p>
    <w:p w14:paraId="1934F49D" w14:textId="77777777" w:rsidR="009B35D0" w:rsidRPr="009D4D3C" w:rsidRDefault="009B35D0" w:rsidP="009B35D0">
      <w:pPr>
        <w:pStyle w:val="ListNumber"/>
        <w:numPr>
          <w:ilvl w:val="0"/>
          <w:numId w:val="4"/>
        </w:numPr>
        <w:ind w:left="709"/>
        <w:rPr>
          <w:rFonts w:cs="Arial"/>
          <w:sz w:val="24"/>
          <w:szCs w:val="24"/>
        </w:rPr>
      </w:pPr>
      <w:r w:rsidRPr="009D4D3C">
        <w:rPr>
          <w:rFonts w:cs="Arial"/>
          <w:sz w:val="24"/>
          <w:szCs w:val="24"/>
        </w:rPr>
        <w:t>Recognise the key restorative challenges faced by older patients before, during and after treatment for oral cancer.</w:t>
      </w:r>
    </w:p>
    <w:p w14:paraId="1F98E555" w14:textId="77777777" w:rsidR="009B35D0" w:rsidRPr="009D4D3C" w:rsidRDefault="009B35D0" w:rsidP="009B35D0">
      <w:pPr>
        <w:pStyle w:val="ListNumber"/>
        <w:numPr>
          <w:ilvl w:val="0"/>
          <w:numId w:val="4"/>
        </w:numPr>
        <w:ind w:left="709"/>
        <w:rPr>
          <w:rFonts w:cs="Arial"/>
          <w:sz w:val="24"/>
          <w:szCs w:val="24"/>
        </w:rPr>
      </w:pPr>
      <w:r w:rsidRPr="009D4D3C">
        <w:rPr>
          <w:rFonts w:cs="Arial"/>
          <w:sz w:val="24"/>
          <w:szCs w:val="24"/>
        </w:rPr>
        <w:t>Describe how cancer therapy can affect oral function, dental disease risk, prosthodontic planning and long-term maintenance.</w:t>
      </w:r>
    </w:p>
    <w:p w14:paraId="47A2AD7E" w14:textId="77777777" w:rsidR="009B35D0" w:rsidRPr="009D4D3C" w:rsidRDefault="009B35D0" w:rsidP="009B35D0">
      <w:pPr>
        <w:pStyle w:val="ListNumber"/>
        <w:numPr>
          <w:ilvl w:val="0"/>
          <w:numId w:val="4"/>
        </w:numPr>
        <w:ind w:left="709"/>
        <w:rPr>
          <w:rFonts w:cs="Arial"/>
          <w:sz w:val="24"/>
          <w:szCs w:val="24"/>
        </w:rPr>
      </w:pPr>
      <w:r w:rsidRPr="009D4D3C">
        <w:rPr>
          <w:rFonts w:cs="Arial"/>
          <w:sz w:val="24"/>
          <w:szCs w:val="24"/>
        </w:rPr>
        <w:t>Identify relevant recommendations from the Oral and dental management of patients before, during and after cancer therapy guidelines and consider how these may be applied in clinical practice.</w:t>
      </w:r>
    </w:p>
    <w:p w14:paraId="46E69CC8" w14:textId="77777777" w:rsidR="009B35D0" w:rsidRPr="009D4D3C" w:rsidRDefault="009B35D0" w:rsidP="009B35D0">
      <w:pPr>
        <w:pStyle w:val="ListNumber"/>
        <w:numPr>
          <w:ilvl w:val="0"/>
          <w:numId w:val="4"/>
        </w:numPr>
        <w:ind w:left="709"/>
        <w:rPr>
          <w:rFonts w:cs="Arial"/>
          <w:sz w:val="24"/>
          <w:szCs w:val="24"/>
        </w:rPr>
      </w:pPr>
      <w:r w:rsidRPr="009D4D3C">
        <w:rPr>
          <w:rFonts w:cs="Arial"/>
          <w:sz w:val="24"/>
          <w:szCs w:val="24"/>
        </w:rPr>
        <w:t>Discuss the role of prevention, multidisciplinary care and shared decision-making in supporting older patients undergoing cancer treatment.</w:t>
      </w:r>
    </w:p>
    <w:p w14:paraId="18196E9D" w14:textId="77777777" w:rsidR="009B35D0" w:rsidRPr="009D4D3C" w:rsidRDefault="009B35D0" w:rsidP="009B35D0">
      <w:pPr>
        <w:pStyle w:val="ListNumber"/>
        <w:numPr>
          <w:ilvl w:val="0"/>
          <w:numId w:val="4"/>
        </w:numPr>
        <w:ind w:left="709"/>
        <w:rPr>
          <w:rFonts w:cs="Arial"/>
          <w:sz w:val="24"/>
          <w:szCs w:val="24"/>
        </w:rPr>
      </w:pPr>
      <w:r w:rsidRPr="009D4D3C">
        <w:rPr>
          <w:rFonts w:cs="Arial"/>
          <w:sz w:val="24"/>
          <w:szCs w:val="24"/>
        </w:rPr>
        <w:t>Appreciate the importance of realistic, patient-centred restorative planning in the context of frailty, comorbidity, and survivorship.</w:t>
      </w:r>
    </w:p>
    <w:p w14:paraId="22B53B3A" w14:textId="77777777" w:rsidR="003F3491" w:rsidRPr="009D4D3C" w:rsidRDefault="003F3491" w:rsidP="00F82BE4">
      <w:pPr>
        <w:rPr>
          <w:rFonts w:ascii="Arial" w:hAnsi="Arial" w:cs="Arial"/>
          <w:b/>
          <w:color w:val="538135" w:themeColor="accent6" w:themeShade="BF"/>
          <w:sz w:val="24"/>
          <w:szCs w:val="24"/>
          <w:u w:val="single"/>
        </w:rPr>
      </w:pPr>
    </w:p>
    <w:p w14:paraId="1DADF0C5" w14:textId="77777777" w:rsidR="003F3491" w:rsidRPr="009D4D3C" w:rsidRDefault="003F3491" w:rsidP="00F82BE4">
      <w:pPr>
        <w:rPr>
          <w:rFonts w:ascii="Arial" w:hAnsi="Arial" w:cs="Arial"/>
          <w:b/>
          <w:color w:val="538135" w:themeColor="accent6" w:themeShade="BF"/>
          <w:sz w:val="24"/>
          <w:szCs w:val="24"/>
          <w:u w:val="single"/>
        </w:rPr>
      </w:pPr>
    </w:p>
    <w:p w14:paraId="34FA8118" w14:textId="77777777" w:rsidR="009B35D0" w:rsidRPr="009D4D3C" w:rsidRDefault="00753AAD" w:rsidP="00F82BE4">
      <w:pPr>
        <w:rPr>
          <w:rFonts w:ascii="Arial" w:eastAsia="Times New Roman" w:hAnsi="Arial" w:cs="Arial"/>
          <w:b/>
          <w:color w:val="000000"/>
          <w:sz w:val="24"/>
          <w:szCs w:val="24"/>
          <w:u w:val="single"/>
        </w:rPr>
      </w:pPr>
      <w:r w:rsidRPr="009D4D3C">
        <w:rPr>
          <w:rFonts w:ascii="Arial" w:hAnsi="Arial" w:cs="Arial"/>
          <w:b/>
          <w:color w:val="538135" w:themeColor="accent6" w:themeShade="BF"/>
          <w:sz w:val="24"/>
          <w:szCs w:val="24"/>
          <w:u w:val="single"/>
        </w:rPr>
        <w:t>Michelle Kennedy - Still Here, Still Speaking: a patient’s personal account of her journey through</w:t>
      </w:r>
      <w:r w:rsidRPr="009D4D3C">
        <w:rPr>
          <w:rFonts w:ascii="Arial" w:hAnsi="Arial" w:cs="Arial"/>
          <w:color w:val="538135" w:themeColor="accent6" w:themeShade="BF"/>
          <w:sz w:val="24"/>
          <w:szCs w:val="24"/>
          <w:u w:val="single"/>
        </w:rPr>
        <w:t xml:space="preserve"> </w:t>
      </w:r>
      <w:r w:rsidRPr="009D4D3C">
        <w:rPr>
          <w:rFonts w:ascii="Arial" w:hAnsi="Arial" w:cs="Arial"/>
          <w:b/>
          <w:color w:val="538135" w:themeColor="accent6" w:themeShade="BF"/>
          <w:sz w:val="24"/>
          <w:szCs w:val="24"/>
          <w:u w:val="single"/>
        </w:rPr>
        <w:t>recurrent oral cancer</w:t>
      </w:r>
    </w:p>
    <w:p w14:paraId="09375328" w14:textId="77777777" w:rsidR="009B35D0" w:rsidRPr="009D4D3C" w:rsidRDefault="009B35D0" w:rsidP="00F82BE4">
      <w:pPr>
        <w:rPr>
          <w:rFonts w:ascii="Arial" w:eastAsia="Times New Roman" w:hAnsi="Arial" w:cs="Arial"/>
          <w:b/>
          <w:color w:val="000000"/>
          <w:sz w:val="24"/>
          <w:szCs w:val="24"/>
          <w:u w:val="single"/>
        </w:rPr>
      </w:pPr>
    </w:p>
    <w:p w14:paraId="540311F4" w14:textId="77777777" w:rsidR="009D4D3C" w:rsidRPr="009D4D3C" w:rsidRDefault="009D4D3C" w:rsidP="009D4D3C">
      <w:pPr>
        <w:jc w:val="both"/>
        <w:rPr>
          <w:rFonts w:ascii="Arial" w:hAnsi="Arial" w:cs="Arial"/>
          <w:sz w:val="24"/>
          <w:szCs w:val="24"/>
        </w:rPr>
      </w:pPr>
      <w:r w:rsidRPr="009D4D3C">
        <w:rPr>
          <w:rFonts w:ascii="Arial" w:hAnsi="Arial" w:cs="Arial"/>
          <w:sz w:val="24"/>
          <w:szCs w:val="24"/>
        </w:rPr>
        <w:t>Michelle lives in Devon where she moved to from London 15 years ago. She worked for over 25 years in Local and National Government at senior and executive levels, latterly as an adviser on tackling Child Poverty and social inclusion. She then worked as an independent adviser to Save The Children, the Joseph Rowntree Foundation and the National Children’s Bureau.</w:t>
      </w:r>
    </w:p>
    <w:p w14:paraId="17A1AD01" w14:textId="77777777" w:rsidR="009D4D3C" w:rsidRPr="009D4D3C" w:rsidRDefault="009D4D3C" w:rsidP="009D4D3C">
      <w:pPr>
        <w:jc w:val="both"/>
        <w:rPr>
          <w:rFonts w:ascii="Arial" w:hAnsi="Arial" w:cs="Arial"/>
          <w:sz w:val="24"/>
          <w:szCs w:val="24"/>
        </w:rPr>
      </w:pPr>
    </w:p>
    <w:p w14:paraId="14D49802" w14:textId="17D669B3" w:rsidR="009D4D3C" w:rsidRPr="009D4D3C" w:rsidRDefault="009D4D3C" w:rsidP="009D4D3C">
      <w:pPr>
        <w:jc w:val="both"/>
        <w:rPr>
          <w:rFonts w:ascii="Arial" w:hAnsi="Arial" w:cs="Arial"/>
          <w:sz w:val="24"/>
          <w:szCs w:val="24"/>
        </w:rPr>
      </w:pPr>
      <w:r w:rsidRPr="009D4D3C">
        <w:rPr>
          <w:rFonts w:ascii="Arial" w:hAnsi="Arial" w:cs="Arial"/>
          <w:sz w:val="24"/>
          <w:szCs w:val="24"/>
        </w:rPr>
        <w:t xml:space="preserve">Since 2004 Michelle has been living with recurrent oral head and neck cancer, most recently in 2025. She has had 4 neck dissections, a hemi glossectomy in 2016 and radiotherapy. She is dysphagic, and receives all liquid and food, including water, through a RIG. </w:t>
      </w:r>
    </w:p>
    <w:p w14:paraId="3BE371E7" w14:textId="77777777" w:rsidR="003F3491" w:rsidRPr="009D4D3C" w:rsidRDefault="003F3491" w:rsidP="00F82BE4">
      <w:pPr>
        <w:rPr>
          <w:rFonts w:ascii="Arial" w:eastAsia="Times New Roman" w:hAnsi="Arial" w:cs="Arial"/>
          <w:b/>
          <w:color w:val="000000"/>
          <w:sz w:val="24"/>
          <w:szCs w:val="24"/>
          <w:u w:val="single"/>
        </w:rPr>
      </w:pPr>
    </w:p>
    <w:p w14:paraId="47072D28" w14:textId="77777777" w:rsidR="003F3491" w:rsidRDefault="003F3491" w:rsidP="00F82BE4">
      <w:pPr>
        <w:rPr>
          <w:rFonts w:ascii="Arial" w:eastAsia="Times New Roman" w:hAnsi="Arial" w:cs="Arial"/>
          <w:b/>
          <w:color w:val="000000"/>
          <w:sz w:val="24"/>
          <w:szCs w:val="24"/>
          <w:u w:val="single"/>
        </w:rPr>
      </w:pPr>
    </w:p>
    <w:p w14:paraId="60057D59" w14:textId="77777777" w:rsidR="009D4D3C" w:rsidRPr="009D4D3C" w:rsidRDefault="009D4D3C" w:rsidP="00F82BE4">
      <w:pPr>
        <w:rPr>
          <w:rFonts w:ascii="Arial" w:eastAsia="Times New Roman" w:hAnsi="Arial" w:cs="Arial"/>
          <w:b/>
          <w:color w:val="000000"/>
          <w:sz w:val="24"/>
          <w:szCs w:val="24"/>
          <w:u w:val="single"/>
        </w:rPr>
      </w:pPr>
    </w:p>
    <w:p w14:paraId="795C2BE6" w14:textId="77777777" w:rsidR="00F82BE4" w:rsidRPr="009D4D3C" w:rsidRDefault="00B03AE0" w:rsidP="00F82BE4">
      <w:pPr>
        <w:rPr>
          <w:rFonts w:ascii="Arial" w:eastAsia="Times New Roman" w:hAnsi="Arial" w:cs="Arial"/>
          <w:b/>
          <w:color w:val="538135" w:themeColor="accent6" w:themeShade="BF"/>
          <w:sz w:val="24"/>
          <w:szCs w:val="24"/>
          <w:u w:val="single"/>
        </w:rPr>
      </w:pPr>
      <w:r w:rsidRPr="009D4D3C">
        <w:rPr>
          <w:rFonts w:ascii="Arial" w:eastAsia="Times New Roman" w:hAnsi="Arial" w:cs="Arial"/>
          <w:b/>
          <w:color w:val="538135" w:themeColor="accent6" w:themeShade="BF"/>
          <w:sz w:val="24"/>
          <w:szCs w:val="24"/>
          <w:u w:val="single"/>
        </w:rPr>
        <w:t xml:space="preserve">Deborah Howland - </w:t>
      </w:r>
      <w:r w:rsidR="00F82BE4" w:rsidRPr="009D4D3C">
        <w:rPr>
          <w:rFonts w:ascii="Arial" w:eastAsia="Times New Roman" w:hAnsi="Arial" w:cs="Arial"/>
          <w:b/>
          <w:color w:val="538135" w:themeColor="accent6" w:themeShade="BF"/>
          <w:sz w:val="24"/>
          <w:szCs w:val="24"/>
          <w:u w:val="single"/>
        </w:rPr>
        <w:t xml:space="preserve">A Matter of Taste </w:t>
      </w:r>
    </w:p>
    <w:p w14:paraId="600D049F" w14:textId="77777777" w:rsidR="00F82BE4" w:rsidRPr="009D4D3C" w:rsidRDefault="00F82BE4" w:rsidP="00F82BE4">
      <w:pPr>
        <w:rPr>
          <w:rFonts w:ascii="Arial" w:eastAsia="Times New Roman" w:hAnsi="Arial" w:cs="Arial"/>
          <w:b/>
          <w:color w:val="000000"/>
          <w:sz w:val="24"/>
          <w:szCs w:val="24"/>
        </w:rPr>
      </w:pPr>
      <w:r w:rsidRPr="009D4D3C">
        <w:rPr>
          <w:rFonts w:ascii="Arial" w:eastAsia="Times New Roman" w:hAnsi="Arial" w:cs="Arial"/>
          <w:b/>
          <w:color w:val="000000"/>
          <w:sz w:val="24"/>
          <w:szCs w:val="24"/>
        </w:rPr>
        <w:t>Learning objectives:</w:t>
      </w:r>
    </w:p>
    <w:p w14:paraId="6E774185" w14:textId="77777777" w:rsidR="00F82BE4" w:rsidRPr="009D4D3C" w:rsidRDefault="00F82BE4" w:rsidP="00F82BE4">
      <w:pPr>
        <w:numPr>
          <w:ilvl w:val="0"/>
          <w:numId w:val="1"/>
        </w:numPr>
        <w:spacing w:before="200" w:line="216" w:lineRule="auto"/>
        <w:rPr>
          <w:rFonts w:ascii="Arial" w:eastAsia="Times New Roman" w:hAnsi="Arial" w:cs="Arial"/>
          <w:color w:val="000000"/>
          <w:sz w:val="24"/>
          <w:szCs w:val="24"/>
        </w:rPr>
      </w:pPr>
      <w:r w:rsidRPr="009D4D3C">
        <w:rPr>
          <w:rFonts w:ascii="Arial" w:eastAsia="Times New Roman" w:hAnsi="Arial" w:cs="Arial"/>
          <w:color w:val="000000"/>
          <w:sz w:val="24"/>
          <w:szCs w:val="24"/>
        </w:rPr>
        <w:t>Explain how taste perception works and how it can be affected by treatments for head and neck cancer.</w:t>
      </w:r>
    </w:p>
    <w:p w14:paraId="70196B86" w14:textId="77777777" w:rsidR="00F82BE4" w:rsidRPr="009D4D3C" w:rsidRDefault="00F82BE4" w:rsidP="00F82BE4">
      <w:pPr>
        <w:numPr>
          <w:ilvl w:val="0"/>
          <w:numId w:val="1"/>
        </w:numPr>
        <w:spacing w:before="200" w:line="216" w:lineRule="auto"/>
        <w:rPr>
          <w:rFonts w:ascii="Arial" w:eastAsia="Times New Roman" w:hAnsi="Arial" w:cs="Arial"/>
          <w:color w:val="000000"/>
          <w:sz w:val="24"/>
          <w:szCs w:val="24"/>
        </w:rPr>
      </w:pPr>
      <w:r w:rsidRPr="009D4D3C">
        <w:rPr>
          <w:rFonts w:ascii="Arial" w:eastAsia="Times New Roman" w:hAnsi="Arial" w:cs="Arial"/>
          <w:color w:val="000000"/>
          <w:sz w:val="24"/>
          <w:szCs w:val="24"/>
        </w:rPr>
        <w:t>Recognise the common challenges patients face with taste changes and how these impact eating and well-being.</w:t>
      </w:r>
    </w:p>
    <w:p w14:paraId="1A3ED637" w14:textId="77777777" w:rsidR="00F82BE4" w:rsidRPr="009D4D3C" w:rsidRDefault="00F82BE4" w:rsidP="00F82BE4">
      <w:pPr>
        <w:numPr>
          <w:ilvl w:val="0"/>
          <w:numId w:val="1"/>
        </w:numPr>
        <w:spacing w:before="200" w:line="216" w:lineRule="auto"/>
        <w:rPr>
          <w:rFonts w:ascii="Arial" w:eastAsia="Times New Roman" w:hAnsi="Arial" w:cs="Arial"/>
          <w:color w:val="000000"/>
          <w:sz w:val="24"/>
          <w:szCs w:val="24"/>
        </w:rPr>
      </w:pPr>
      <w:r w:rsidRPr="009D4D3C">
        <w:rPr>
          <w:rFonts w:ascii="Arial" w:eastAsia="Times New Roman" w:hAnsi="Arial" w:cs="Arial"/>
          <w:color w:val="000000"/>
          <w:sz w:val="24"/>
          <w:szCs w:val="24"/>
        </w:rPr>
        <w:lastRenderedPageBreak/>
        <w:t>Provide basic, practical advice to patients experiencing taste changes, including simple strategies to enhance taste perception and enjoyment of food.</w:t>
      </w:r>
    </w:p>
    <w:p w14:paraId="2B1AF2C9" w14:textId="77777777" w:rsidR="009D4D3C" w:rsidRPr="009D4D3C" w:rsidRDefault="00F82BE4" w:rsidP="00476B39">
      <w:pPr>
        <w:numPr>
          <w:ilvl w:val="0"/>
          <w:numId w:val="1"/>
        </w:numPr>
        <w:spacing w:before="200" w:line="216" w:lineRule="auto"/>
        <w:rPr>
          <w:rFonts w:ascii="Arial" w:eastAsia="Times New Roman" w:hAnsi="Arial" w:cs="Arial"/>
          <w:color w:val="000000"/>
          <w:sz w:val="24"/>
          <w:szCs w:val="24"/>
        </w:rPr>
      </w:pPr>
      <w:r w:rsidRPr="009D4D3C">
        <w:rPr>
          <w:rFonts w:ascii="Arial" w:eastAsia="Times New Roman" w:hAnsi="Arial" w:cs="Arial"/>
          <w:color w:val="000000"/>
          <w:sz w:val="24"/>
          <w:szCs w:val="24"/>
        </w:rPr>
        <w:t>Signpost patients to appropriate professionals and resources for further support and management.</w:t>
      </w:r>
    </w:p>
    <w:p w14:paraId="0DA203E4" w14:textId="77777777" w:rsidR="009D4D3C" w:rsidRDefault="009D4D3C" w:rsidP="009D4D3C">
      <w:pPr>
        <w:spacing w:before="200" w:line="216" w:lineRule="auto"/>
        <w:rPr>
          <w:rFonts w:ascii="Arial" w:hAnsi="Arial" w:cs="Arial"/>
          <w:b/>
          <w:color w:val="538135" w:themeColor="accent6" w:themeShade="BF"/>
          <w:sz w:val="24"/>
          <w:szCs w:val="24"/>
          <w:u w:val="single"/>
        </w:rPr>
      </w:pPr>
    </w:p>
    <w:p w14:paraId="419E4207" w14:textId="4DA6A8AE" w:rsidR="00476B39" w:rsidRPr="009D4D3C" w:rsidRDefault="00476B39" w:rsidP="009D4D3C">
      <w:pPr>
        <w:spacing w:before="200" w:line="216" w:lineRule="auto"/>
        <w:rPr>
          <w:rFonts w:ascii="Arial" w:eastAsia="Times New Roman" w:hAnsi="Arial" w:cs="Arial"/>
          <w:color w:val="000000"/>
          <w:sz w:val="24"/>
          <w:szCs w:val="24"/>
        </w:rPr>
      </w:pPr>
      <w:r w:rsidRPr="009D4D3C">
        <w:rPr>
          <w:rFonts w:ascii="Arial" w:hAnsi="Arial" w:cs="Arial"/>
          <w:b/>
          <w:color w:val="538135" w:themeColor="accent6" w:themeShade="BF"/>
          <w:sz w:val="24"/>
          <w:szCs w:val="24"/>
          <w:u w:val="single"/>
        </w:rPr>
        <w:t>Rebecca Iles – Palliative Care</w:t>
      </w:r>
    </w:p>
    <w:p w14:paraId="6F57E194" w14:textId="77777777" w:rsidR="00476B39" w:rsidRPr="009D4D3C" w:rsidRDefault="00476B39" w:rsidP="00476B39">
      <w:pPr>
        <w:rPr>
          <w:rFonts w:ascii="Arial" w:hAnsi="Arial" w:cs="Arial"/>
          <w:sz w:val="24"/>
          <w:szCs w:val="24"/>
        </w:rPr>
      </w:pPr>
    </w:p>
    <w:p w14:paraId="56340AD2" w14:textId="486014F5" w:rsidR="009D4D3C" w:rsidRPr="009D4D3C" w:rsidRDefault="009D4D3C" w:rsidP="009D4D3C">
      <w:pPr>
        <w:rPr>
          <w:rFonts w:ascii="Arial" w:hAnsi="Arial" w:cs="Arial"/>
          <w:b/>
          <w:bCs/>
          <w:sz w:val="24"/>
          <w:szCs w:val="24"/>
        </w:rPr>
      </w:pPr>
      <w:r w:rsidRPr="009D4D3C">
        <w:rPr>
          <w:rFonts w:ascii="Arial" w:hAnsi="Arial" w:cs="Arial"/>
          <w:b/>
          <w:bCs/>
          <w:sz w:val="24"/>
          <w:szCs w:val="24"/>
        </w:rPr>
        <w:t>Aim</w:t>
      </w:r>
      <w:r w:rsidRPr="009D4D3C">
        <w:rPr>
          <w:rFonts w:ascii="Arial" w:hAnsi="Arial" w:cs="Arial"/>
          <w:b/>
          <w:bCs/>
          <w:sz w:val="24"/>
          <w:szCs w:val="24"/>
        </w:rPr>
        <w:t xml:space="preserve">s: </w:t>
      </w:r>
      <w:r w:rsidRPr="009D4D3C">
        <w:rPr>
          <w:rFonts w:ascii="Arial" w:hAnsi="Arial" w:cs="Arial"/>
          <w:sz w:val="24"/>
          <w:szCs w:val="24"/>
        </w:rPr>
        <w:t>To provide dental professionals with an understanding of palliative care principles and the practical management of oral health needs in older patients with serious or life-limiting illness, particularly focusing on those with a diagnosis of oral cancer.</w:t>
      </w:r>
    </w:p>
    <w:p w14:paraId="258FFB53" w14:textId="3D3F08FB" w:rsidR="009D4D3C" w:rsidRPr="009D4D3C" w:rsidRDefault="009D4D3C" w:rsidP="009D4D3C">
      <w:pPr>
        <w:rPr>
          <w:rFonts w:ascii="Arial" w:hAnsi="Arial" w:cs="Arial"/>
          <w:sz w:val="24"/>
          <w:szCs w:val="24"/>
        </w:rPr>
      </w:pPr>
    </w:p>
    <w:p w14:paraId="1FA95B3F" w14:textId="77777777" w:rsidR="009D4D3C" w:rsidRPr="009D4D3C" w:rsidRDefault="009D4D3C" w:rsidP="009D4D3C">
      <w:pPr>
        <w:rPr>
          <w:rFonts w:ascii="Arial" w:hAnsi="Arial" w:cs="Arial"/>
          <w:b/>
          <w:bCs/>
          <w:sz w:val="24"/>
          <w:szCs w:val="24"/>
        </w:rPr>
      </w:pPr>
      <w:r w:rsidRPr="009D4D3C">
        <w:rPr>
          <w:rFonts w:ascii="Arial" w:hAnsi="Arial" w:cs="Arial"/>
          <w:b/>
          <w:bCs/>
          <w:sz w:val="24"/>
          <w:szCs w:val="24"/>
        </w:rPr>
        <w:t>Learning objectives</w:t>
      </w:r>
    </w:p>
    <w:p w14:paraId="5E9496CE" w14:textId="77777777" w:rsidR="009D4D3C" w:rsidRPr="009D4D3C" w:rsidRDefault="009D4D3C" w:rsidP="009D4D3C">
      <w:pPr>
        <w:rPr>
          <w:rFonts w:ascii="Arial" w:hAnsi="Arial" w:cs="Arial"/>
          <w:sz w:val="24"/>
          <w:szCs w:val="24"/>
        </w:rPr>
      </w:pPr>
    </w:p>
    <w:p w14:paraId="467A9A1C" w14:textId="77777777" w:rsidR="009D4D3C" w:rsidRPr="009D4D3C" w:rsidRDefault="009D4D3C" w:rsidP="009D4D3C">
      <w:pPr>
        <w:pStyle w:val="ListParagraph"/>
        <w:numPr>
          <w:ilvl w:val="0"/>
          <w:numId w:val="13"/>
        </w:numPr>
        <w:rPr>
          <w:rFonts w:ascii="Arial" w:hAnsi="Arial" w:cs="Arial"/>
          <w:sz w:val="24"/>
          <w:szCs w:val="24"/>
        </w:rPr>
      </w:pPr>
      <w:r w:rsidRPr="009D4D3C">
        <w:rPr>
          <w:rFonts w:ascii="Arial" w:hAnsi="Arial" w:cs="Arial"/>
          <w:sz w:val="24"/>
          <w:szCs w:val="24"/>
        </w:rPr>
        <w:t>To identify the current population trends and provision of palliative care within the UK</w:t>
      </w:r>
    </w:p>
    <w:p w14:paraId="7259BC3C" w14:textId="77777777" w:rsidR="009D4D3C" w:rsidRPr="009D4D3C" w:rsidRDefault="009D4D3C" w:rsidP="009D4D3C">
      <w:pPr>
        <w:pStyle w:val="ListParagraph"/>
        <w:numPr>
          <w:ilvl w:val="0"/>
          <w:numId w:val="13"/>
        </w:numPr>
        <w:rPr>
          <w:rFonts w:ascii="Arial" w:hAnsi="Arial" w:cs="Arial"/>
          <w:sz w:val="24"/>
          <w:szCs w:val="24"/>
        </w:rPr>
      </w:pPr>
      <w:r w:rsidRPr="009D4D3C">
        <w:rPr>
          <w:rFonts w:ascii="Arial" w:hAnsi="Arial" w:cs="Arial"/>
          <w:sz w:val="24"/>
          <w:szCs w:val="24"/>
        </w:rPr>
        <w:t>To explain the relevance of oral health to palliative care for the older person, with a focus on those with an oral cancer diagnosis</w:t>
      </w:r>
    </w:p>
    <w:p w14:paraId="0FB744D2" w14:textId="77777777" w:rsidR="009D4D3C" w:rsidRPr="009D4D3C" w:rsidRDefault="009D4D3C" w:rsidP="009D4D3C">
      <w:pPr>
        <w:pStyle w:val="ListParagraph"/>
        <w:numPr>
          <w:ilvl w:val="0"/>
          <w:numId w:val="13"/>
        </w:numPr>
        <w:rPr>
          <w:rFonts w:ascii="Arial" w:hAnsi="Arial" w:cs="Arial"/>
          <w:sz w:val="24"/>
          <w:szCs w:val="24"/>
        </w:rPr>
      </w:pPr>
      <w:r w:rsidRPr="009D4D3C">
        <w:rPr>
          <w:rFonts w:ascii="Arial" w:hAnsi="Arial" w:cs="Arial"/>
          <w:sz w:val="24"/>
          <w:szCs w:val="24"/>
        </w:rPr>
        <w:t>To recognise, and demonstrate the management of, common oral conditions seen in palliative and end of life care </w:t>
      </w:r>
    </w:p>
    <w:p w14:paraId="40C7B014" w14:textId="77777777" w:rsidR="009D4D3C" w:rsidRPr="009D4D3C" w:rsidRDefault="009D4D3C" w:rsidP="009D4D3C">
      <w:pPr>
        <w:pStyle w:val="ListParagraph"/>
        <w:numPr>
          <w:ilvl w:val="0"/>
          <w:numId w:val="13"/>
        </w:numPr>
        <w:rPr>
          <w:rFonts w:ascii="Arial" w:hAnsi="Arial" w:cs="Arial"/>
          <w:sz w:val="24"/>
          <w:szCs w:val="24"/>
        </w:rPr>
      </w:pPr>
      <w:r w:rsidRPr="009D4D3C">
        <w:rPr>
          <w:rFonts w:ascii="Arial" w:hAnsi="Arial" w:cs="Arial"/>
          <w:sz w:val="24"/>
          <w:szCs w:val="24"/>
        </w:rPr>
        <w:t xml:space="preserve">To develop and adapt dental treatment plans to align with palliative </w:t>
      </w:r>
      <w:proofErr w:type="gramStart"/>
      <w:r w:rsidRPr="009D4D3C">
        <w:rPr>
          <w:rFonts w:ascii="Arial" w:hAnsi="Arial" w:cs="Arial"/>
          <w:sz w:val="24"/>
          <w:szCs w:val="24"/>
        </w:rPr>
        <w:t>patients</w:t>
      </w:r>
      <w:proofErr w:type="gramEnd"/>
      <w:r w:rsidRPr="009D4D3C">
        <w:rPr>
          <w:rFonts w:ascii="Arial" w:hAnsi="Arial" w:cs="Arial"/>
          <w:sz w:val="24"/>
          <w:szCs w:val="24"/>
        </w:rPr>
        <w:t xml:space="preserve"> goals and prognosis</w:t>
      </w:r>
    </w:p>
    <w:p w14:paraId="376FDF4C" w14:textId="77777777" w:rsidR="009D4D3C" w:rsidRPr="009D4D3C" w:rsidRDefault="009D4D3C" w:rsidP="009D4D3C">
      <w:pPr>
        <w:pStyle w:val="ListParagraph"/>
        <w:numPr>
          <w:ilvl w:val="0"/>
          <w:numId w:val="13"/>
        </w:numPr>
        <w:rPr>
          <w:rFonts w:ascii="Arial" w:hAnsi="Arial" w:cs="Arial"/>
          <w:sz w:val="24"/>
          <w:szCs w:val="24"/>
        </w:rPr>
      </w:pPr>
      <w:r w:rsidRPr="009D4D3C">
        <w:rPr>
          <w:rFonts w:ascii="Arial" w:hAnsi="Arial" w:cs="Arial"/>
          <w:sz w:val="24"/>
          <w:szCs w:val="24"/>
        </w:rPr>
        <w:t>To describe the role of the dental care professional within the wider palliative multidisciplinary team</w:t>
      </w:r>
    </w:p>
    <w:p w14:paraId="5A763BBB" w14:textId="5624D2E4" w:rsidR="009D4D3C" w:rsidRPr="009D4D3C" w:rsidRDefault="009D4D3C" w:rsidP="009D4D3C">
      <w:pPr>
        <w:pStyle w:val="ListParagraph"/>
        <w:numPr>
          <w:ilvl w:val="0"/>
          <w:numId w:val="13"/>
        </w:numPr>
        <w:rPr>
          <w:rFonts w:ascii="Arial" w:hAnsi="Arial" w:cs="Arial"/>
          <w:sz w:val="24"/>
          <w:szCs w:val="24"/>
        </w:rPr>
      </w:pPr>
      <w:r w:rsidRPr="009D4D3C">
        <w:rPr>
          <w:rFonts w:ascii="Arial" w:hAnsi="Arial" w:cs="Arial"/>
          <w:sz w:val="24"/>
          <w:szCs w:val="24"/>
        </w:rPr>
        <w:t>To</w:t>
      </w:r>
      <w:r w:rsidRPr="009D4D3C">
        <w:rPr>
          <w:rFonts w:ascii="Arial" w:hAnsi="Arial" w:cs="Arial"/>
          <w:sz w:val="24"/>
          <w:szCs w:val="24"/>
        </w:rPr>
        <w:t xml:space="preserve"> </w:t>
      </w:r>
      <w:r w:rsidRPr="009D4D3C">
        <w:rPr>
          <w:rFonts w:ascii="Arial" w:hAnsi="Arial" w:cs="Arial"/>
          <w:sz w:val="24"/>
          <w:szCs w:val="24"/>
        </w:rPr>
        <w:t>discuss the communication and ethical considerations</w:t>
      </w:r>
    </w:p>
    <w:p w14:paraId="1975DF35" w14:textId="488415B9" w:rsidR="00476B39" w:rsidRPr="009D4D3C" w:rsidRDefault="00476B39" w:rsidP="00476B39">
      <w:pPr>
        <w:rPr>
          <w:rFonts w:ascii="Arial" w:hAnsi="Arial" w:cs="Arial"/>
          <w:sz w:val="24"/>
          <w:szCs w:val="24"/>
        </w:rPr>
      </w:pPr>
    </w:p>
    <w:p w14:paraId="5A00B238" w14:textId="77777777" w:rsidR="00476B39" w:rsidRPr="009D4D3C" w:rsidRDefault="00476B39">
      <w:pPr>
        <w:rPr>
          <w:rFonts w:ascii="Arial" w:hAnsi="Arial" w:cs="Arial"/>
          <w:sz w:val="24"/>
          <w:szCs w:val="24"/>
        </w:rPr>
      </w:pPr>
    </w:p>
    <w:p w14:paraId="16343665" w14:textId="77777777" w:rsidR="00B03AE0" w:rsidRPr="009D4D3C" w:rsidRDefault="00B03AE0">
      <w:pPr>
        <w:rPr>
          <w:rFonts w:ascii="Arial" w:hAnsi="Arial" w:cs="Arial"/>
          <w:sz w:val="24"/>
          <w:szCs w:val="24"/>
        </w:rPr>
      </w:pPr>
    </w:p>
    <w:p w14:paraId="6C1776A3" w14:textId="77777777" w:rsidR="00B03AE0" w:rsidRPr="009D4D3C" w:rsidRDefault="00B03AE0" w:rsidP="00B03AE0">
      <w:pPr>
        <w:rPr>
          <w:rFonts w:ascii="Arial" w:eastAsia="Times New Roman" w:hAnsi="Arial" w:cs="Arial"/>
          <w:b/>
          <w:color w:val="538135" w:themeColor="accent6" w:themeShade="BF"/>
          <w:sz w:val="24"/>
          <w:szCs w:val="24"/>
          <w:u w:val="single"/>
        </w:rPr>
      </w:pPr>
      <w:r w:rsidRPr="009D4D3C">
        <w:rPr>
          <w:rFonts w:ascii="Arial" w:eastAsia="Times New Roman" w:hAnsi="Arial" w:cs="Arial"/>
          <w:b/>
          <w:color w:val="538135" w:themeColor="accent6" w:themeShade="BF"/>
          <w:sz w:val="24"/>
          <w:szCs w:val="24"/>
          <w:u w:val="single"/>
        </w:rPr>
        <w:t>John Murphy- Oral cancer and the older person - a holistic approach</w:t>
      </w:r>
    </w:p>
    <w:p w14:paraId="5B2F4306" w14:textId="77777777" w:rsidR="00B03AE0" w:rsidRPr="009D4D3C" w:rsidRDefault="00B03AE0" w:rsidP="00B03AE0">
      <w:pPr>
        <w:rPr>
          <w:rFonts w:ascii="Arial" w:eastAsia="Times New Roman" w:hAnsi="Arial" w:cs="Arial"/>
          <w:color w:val="000000"/>
          <w:sz w:val="24"/>
          <w:szCs w:val="24"/>
        </w:rPr>
      </w:pPr>
    </w:p>
    <w:p w14:paraId="3F2B281A" w14:textId="77777777" w:rsidR="00B03AE0" w:rsidRPr="009D4D3C" w:rsidRDefault="00B03AE0" w:rsidP="00B03AE0">
      <w:pPr>
        <w:rPr>
          <w:rFonts w:ascii="Arial" w:eastAsia="Times New Roman" w:hAnsi="Arial" w:cs="Arial"/>
          <w:color w:val="000000"/>
          <w:sz w:val="24"/>
          <w:szCs w:val="24"/>
        </w:rPr>
      </w:pPr>
      <w:r w:rsidRPr="009D4D3C">
        <w:rPr>
          <w:rFonts w:ascii="Arial" w:eastAsia="Times New Roman" w:hAnsi="Arial" w:cs="Arial"/>
          <w:b/>
          <w:color w:val="000000"/>
          <w:sz w:val="24"/>
          <w:szCs w:val="24"/>
        </w:rPr>
        <w:t>Aim:</w:t>
      </w:r>
      <w:r w:rsidRPr="009D4D3C">
        <w:rPr>
          <w:rFonts w:ascii="Arial" w:eastAsia="Times New Roman" w:hAnsi="Arial" w:cs="Arial"/>
          <w:color w:val="000000"/>
          <w:sz w:val="24"/>
          <w:szCs w:val="24"/>
        </w:rPr>
        <w:t xml:space="preserve"> To explore a holistic, patient-centred approach to treatment planning for oral cancer in older adults, integrating oncological, functional, and individual patient factors.</w:t>
      </w:r>
    </w:p>
    <w:p w14:paraId="75AE4F00" w14:textId="77777777" w:rsidR="00B03AE0" w:rsidRPr="009D4D3C" w:rsidRDefault="00B03AE0" w:rsidP="00B03AE0">
      <w:pPr>
        <w:rPr>
          <w:rFonts w:ascii="Arial" w:eastAsia="Times New Roman" w:hAnsi="Arial" w:cs="Arial"/>
          <w:color w:val="000000"/>
          <w:sz w:val="24"/>
          <w:szCs w:val="24"/>
        </w:rPr>
      </w:pPr>
    </w:p>
    <w:p w14:paraId="3B199FDF" w14:textId="77777777" w:rsidR="00B03AE0" w:rsidRPr="009D4D3C" w:rsidRDefault="00B03AE0" w:rsidP="00B03AE0">
      <w:pPr>
        <w:rPr>
          <w:rFonts w:ascii="Arial" w:eastAsia="Times New Roman" w:hAnsi="Arial" w:cs="Arial"/>
          <w:color w:val="000000"/>
          <w:sz w:val="24"/>
          <w:szCs w:val="24"/>
        </w:rPr>
      </w:pPr>
      <w:r w:rsidRPr="009D4D3C">
        <w:rPr>
          <w:rFonts w:ascii="Arial" w:eastAsia="Times New Roman" w:hAnsi="Arial" w:cs="Arial"/>
          <w:b/>
          <w:color w:val="000000"/>
          <w:sz w:val="24"/>
          <w:szCs w:val="24"/>
        </w:rPr>
        <w:t>Objectives</w:t>
      </w:r>
      <w:r w:rsidR="009B35D0" w:rsidRPr="009D4D3C">
        <w:rPr>
          <w:rFonts w:ascii="Arial" w:eastAsia="Times New Roman" w:hAnsi="Arial" w:cs="Arial"/>
          <w:b/>
          <w:color w:val="000000"/>
          <w:sz w:val="24"/>
          <w:szCs w:val="24"/>
        </w:rPr>
        <w:t>:</w:t>
      </w:r>
      <w:r w:rsidRPr="009D4D3C">
        <w:rPr>
          <w:rFonts w:ascii="Arial" w:eastAsia="Times New Roman" w:hAnsi="Arial" w:cs="Arial"/>
          <w:color w:val="000000"/>
          <w:sz w:val="24"/>
          <w:szCs w:val="24"/>
        </w:rPr>
        <w:t> </w:t>
      </w:r>
    </w:p>
    <w:p w14:paraId="61170500" w14:textId="77777777" w:rsidR="00B03AE0" w:rsidRPr="009D4D3C" w:rsidRDefault="00B03AE0" w:rsidP="009B35D0">
      <w:pPr>
        <w:pStyle w:val="ListParagraph"/>
        <w:numPr>
          <w:ilvl w:val="0"/>
          <w:numId w:val="3"/>
        </w:numPr>
        <w:rPr>
          <w:rFonts w:ascii="Arial" w:eastAsia="Times New Roman" w:hAnsi="Arial" w:cs="Arial"/>
          <w:color w:val="000000"/>
          <w:sz w:val="24"/>
          <w:szCs w:val="24"/>
        </w:rPr>
      </w:pPr>
      <w:r w:rsidRPr="009D4D3C">
        <w:rPr>
          <w:rFonts w:ascii="Arial" w:eastAsia="Times New Roman" w:hAnsi="Arial" w:cs="Arial"/>
          <w:color w:val="000000"/>
          <w:sz w:val="24"/>
          <w:szCs w:val="24"/>
        </w:rPr>
        <w:t>To consider how frailty, comorbidity, cognition, and social context influence treatment selection and outcomes in older patients with oral cancer. </w:t>
      </w:r>
    </w:p>
    <w:p w14:paraId="4B27CCC8" w14:textId="77777777" w:rsidR="00B03AE0" w:rsidRPr="009D4D3C" w:rsidRDefault="00B03AE0" w:rsidP="00B03AE0">
      <w:pPr>
        <w:rPr>
          <w:rFonts w:ascii="Arial" w:eastAsia="Times New Roman" w:hAnsi="Arial" w:cs="Arial"/>
          <w:color w:val="000000"/>
          <w:sz w:val="24"/>
          <w:szCs w:val="24"/>
        </w:rPr>
      </w:pPr>
    </w:p>
    <w:p w14:paraId="50E7F131" w14:textId="77777777" w:rsidR="00B03AE0" w:rsidRPr="009D4D3C" w:rsidRDefault="00B03AE0" w:rsidP="009B35D0">
      <w:pPr>
        <w:pStyle w:val="ListParagraph"/>
        <w:numPr>
          <w:ilvl w:val="0"/>
          <w:numId w:val="3"/>
        </w:numPr>
        <w:rPr>
          <w:rFonts w:ascii="Arial" w:eastAsia="Times New Roman" w:hAnsi="Arial" w:cs="Arial"/>
          <w:color w:val="000000"/>
          <w:sz w:val="24"/>
          <w:szCs w:val="24"/>
        </w:rPr>
      </w:pPr>
      <w:r w:rsidRPr="009D4D3C">
        <w:rPr>
          <w:rFonts w:ascii="Arial" w:eastAsia="Times New Roman" w:hAnsi="Arial" w:cs="Arial"/>
          <w:color w:val="000000"/>
          <w:sz w:val="24"/>
          <w:szCs w:val="24"/>
        </w:rPr>
        <w:t>Review oral potentially malignant disorders and consider their management. </w:t>
      </w:r>
    </w:p>
    <w:p w14:paraId="6D1CCB27" w14:textId="77777777" w:rsidR="00B03AE0" w:rsidRPr="009D4D3C" w:rsidRDefault="00B03AE0" w:rsidP="00B03AE0">
      <w:pPr>
        <w:rPr>
          <w:rFonts w:ascii="Arial" w:eastAsia="Times New Roman" w:hAnsi="Arial" w:cs="Arial"/>
          <w:color w:val="000000"/>
          <w:sz w:val="24"/>
          <w:szCs w:val="24"/>
        </w:rPr>
      </w:pPr>
    </w:p>
    <w:p w14:paraId="04AA75A8" w14:textId="77777777" w:rsidR="00B03AE0" w:rsidRPr="009D4D3C" w:rsidRDefault="00B03AE0" w:rsidP="009B35D0">
      <w:pPr>
        <w:pStyle w:val="ListParagraph"/>
        <w:numPr>
          <w:ilvl w:val="0"/>
          <w:numId w:val="3"/>
        </w:numPr>
        <w:rPr>
          <w:rFonts w:ascii="Arial" w:eastAsia="Times New Roman" w:hAnsi="Arial" w:cs="Arial"/>
          <w:color w:val="000000"/>
          <w:sz w:val="24"/>
          <w:szCs w:val="24"/>
        </w:rPr>
      </w:pPr>
      <w:r w:rsidRPr="009D4D3C">
        <w:rPr>
          <w:rFonts w:ascii="Arial" w:eastAsia="Times New Roman" w:hAnsi="Arial" w:cs="Arial"/>
          <w:color w:val="000000"/>
          <w:sz w:val="24"/>
          <w:szCs w:val="24"/>
        </w:rPr>
        <w:t>To apply a structured, MDT-based approach to shared decision-making that prioritises quality of life alongside oncological control.</w:t>
      </w:r>
    </w:p>
    <w:p w14:paraId="1A706375" w14:textId="77777777" w:rsidR="00B03AE0" w:rsidRPr="009D4D3C" w:rsidRDefault="00B03AE0">
      <w:pPr>
        <w:rPr>
          <w:rFonts w:ascii="Arial" w:hAnsi="Arial" w:cs="Arial"/>
          <w:sz w:val="24"/>
          <w:szCs w:val="24"/>
        </w:rPr>
      </w:pPr>
    </w:p>
    <w:p w14:paraId="66E13E62" w14:textId="77777777" w:rsidR="009D4D3C" w:rsidRPr="009D4D3C" w:rsidRDefault="009D4D3C">
      <w:pPr>
        <w:rPr>
          <w:rFonts w:ascii="Arial" w:hAnsi="Arial" w:cs="Arial"/>
          <w:sz w:val="24"/>
          <w:szCs w:val="24"/>
        </w:rPr>
      </w:pPr>
    </w:p>
    <w:p w14:paraId="305A3056" w14:textId="77777777" w:rsidR="009D4D3C" w:rsidRDefault="009D4D3C">
      <w:pPr>
        <w:rPr>
          <w:rFonts w:ascii="Arial" w:hAnsi="Arial" w:cs="Arial"/>
          <w:b/>
          <w:color w:val="538135" w:themeColor="accent6" w:themeShade="BF"/>
          <w:sz w:val="24"/>
          <w:szCs w:val="24"/>
          <w:u w:val="single"/>
        </w:rPr>
      </w:pPr>
    </w:p>
    <w:p w14:paraId="1EBAB2B4" w14:textId="77777777" w:rsidR="009D4D3C" w:rsidRDefault="009D4D3C">
      <w:pPr>
        <w:rPr>
          <w:rFonts w:ascii="Arial" w:hAnsi="Arial" w:cs="Arial"/>
          <w:b/>
          <w:color w:val="538135" w:themeColor="accent6" w:themeShade="BF"/>
          <w:sz w:val="24"/>
          <w:szCs w:val="24"/>
          <w:u w:val="single"/>
        </w:rPr>
      </w:pPr>
    </w:p>
    <w:p w14:paraId="235B2F14" w14:textId="77777777" w:rsidR="009D4D3C" w:rsidRDefault="009D4D3C">
      <w:pPr>
        <w:rPr>
          <w:rFonts w:ascii="Arial" w:hAnsi="Arial" w:cs="Arial"/>
          <w:b/>
          <w:color w:val="538135" w:themeColor="accent6" w:themeShade="BF"/>
          <w:sz w:val="24"/>
          <w:szCs w:val="24"/>
          <w:u w:val="single"/>
        </w:rPr>
      </w:pPr>
    </w:p>
    <w:p w14:paraId="7272D869" w14:textId="7B666C71" w:rsidR="00476B39" w:rsidRPr="009D4D3C" w:rsidRDefault="00476B39">
      <w:pPr>
        <w:rPr>
          <w:rFonts w:ascii="Arial" w:hAnsi="Arial" w:cs="Arial"/>
          <w:b/>
          <w:color w:val="538135" w:themeColor="accent6" w:themeShade="BF"/>
          <w:sz w:val="24"/>
          <w:szCs w:val="24"/>
          <w:u w:val="single"/>
        </w:rPr>
      </w:pPr>
      <w:r w:rsidRPr="009D4D3C">
        <w:rPr>
          <w:rFonts w:ascii="Arial" w:hAnsi="Arial" w:cs="Arial"/>
          <w:b/>
          <w:color w:val="538135" w:themeColor="accent6" w:themeShade="BF"/>
          <w:sz w:val="24"/>
          <w:szCs w:val="24"/>
          <w:u w:val="single"/>
        </w:rPr>
        <w:lastRenderedPageBreak/>
        <w:t>Sophie Bryant &amp; Carolyn Joyce - Dysphagia and new SIG Guidelines</w:t>
      </w:r>
    </w:p>
    <w:p w14:paraId="3AE5176D" w14:textId="77777777" w:rsidR="00476B39" w:rsidRPr="009D4D3C" w:rsidRDefault="00476B39">
      <w:pPr>
        <w:rPr>
          <w:rFonts w:ascii="Arial" w:hAnsi="Arial" w:cs="Arial"/>
          <w:sz w:val="24"/>
          <w:szCs w:val="24"/>
        </w:rPr>
      </w:pPr>
    </w:p>
    <w:p w14:paraId="01C07E01" w14:textId="77777777" w:rsidR="00901D30" w:rsidRPr="009D4D3C" w:rsidRDefault="00901D30" w:rsidP="00901D30">
      <w:pPr>
        <w:pStyle w:val="xmsonormal"/>
        <w:rPr>
          <w:rFonts w:ascii="Arial" w:hAnsi="Arial" w:cs="Arial"/>
          <w:sz w:val="24"/>
          <w:szCs w:val="24"/>
        </w:rPr>
      </w:pPr>
      <w:r w:rsidRPr="009D4D3C">
        <w:rPr>
          <w:rFonts w:ascii="Arial" w:hAnsi="Arial" w:cs="Arial"/>
          <w:b/>
          <w:bCs/>
          <w:color w:val="000000"/>
          <w:sz w:val="24"/>
          <w:szCs w:val="24"/>
        </w:rPr>
        <w:t>Aims:</w:t>
      </w:r>
    </w:p>
    <w:p w14:paraId="50AE91D4" w14:textId="77777777" w:rsidR="00901D30" w:rsidRPr="009D4D3C" w:rsidRDefault="00901D30" w:rsidP="00901D30">
      <w:pPr>
        <w:pStyle w:val="xmsonormal"/>
        <w:numPr>
          <w:ilvl w:val="0"/>
          <w:numId w:val="5"/>
        </w:numPr>
        <w:rPr>
          <w:rFonts w:ascii="Arial" w:eastAsia="Times New Roman" w:hAnsi="Arial" w:cs="Arial"/>
          <w:color w:val="000000"/>
          <w:sz w:val="24"/>
          <w:szCs w:val="24"/>
        </w:rPr>
      </w:pPr>
      <w:r w:rsidRPr="009D4D3C">
        <w:rPr>
          <w:rFonts w:ascii="Arial" w:eastAsia="Times New Roman" w:hAnsi="Arial" w:cs="Arial"/>
          <w:color w:val="000000"/>
          <w:sz w:val="24"/>
          <w:szCs w:val="24"/>
        </w:rPr>
        <w:t>To introduce the updated SIG Dysphagia Guidelines and their relevance to dental practice. </w:t>
      </w:r>
    </w:p>
    <w:p w14:paraId="541D44F6" w14:textId="77777777" w:rsidR="00901D30" w:rsidRPr="009D4D3C" w:rsidRDefault="00901D30" w:rsidP="00901D30">
      <w:pPr>
        <w:pStyle w:val="xmsonormal"/>
        <w:numPr>
          <w:ilvl w:val="0"/>
          <w:numId w:val="6"/>
        </w:numPr>
        <w:rPr>
          <w:rFonts w:ascii="Arial" w:eastAsia="Times New Roman" w:hAnsi="Arial" w:cs="Arial"/>
          <w:color w:val="000000"/>
          <w:sz w:val="24"/>
          <w:szCs w:val="24"/>
        </w:rPr>
      </w:pPr>
      <w:r w:rsidRPr="009D4D3C">
        <w:rPr>
          <w:rFonts w:ascii="Arial" w:eastAsia="Times New Roman" w:hAnsi="Arial" w:cs="Arial"/>
          <w:color w:val="000000"/>
          <w:sz w:val="24"/>
          <w:szCs w:val="24"/>
        </w:rPr>
        <w:t>To increase awareness of dysphagia as a significant health issue that impacts oral health, patient safety, and delivery of dental care. </w:t>
      </w:r>
    </w:p>
    <w:p w14:paraId="01EB8523" w14:textId="77777777" w:rsidR="00901D30" w:rsidRPr="009D4D3C" w:rsidRDefault="00901D30" w:rsidP="00901D30">
      <w:pPr>
        <w:pStyle w:val="xmsonormal"/>
        <w:numPr>
          <w:ilvl w:val="0"/>
          <w:numId w:val="7"/>
        </w:numPr>
        <w:rPr>
          <w:rFonts w:ascii="Arial" w:eastAsia="Times New Roman" w:hAnsi="Arial" w:cs="Arial"/>
          <w:color w:val="000000"/>
          <w:sz w:val="24"/>
          <w:szCs w:val="24"/>
        </w:rPr>
      </w:pPr>
      <w:r w:rsidRPr="009D4D3C">
        <w:rPr>
          <w:rFonts w:ascii="Arial" w:eastAsia="Times New Roman" w:hAnsi="Arial" w:cs="Arial"/>
          <w:color w:val="000000"/>
          <w:sz w:val="24"/>
          <w:szCs w:val="24"/>
        </w:rPr>
        <w:t>To support dental professionals in providing safe, evidence-based, patient-centred care for individuals with swallowing difficulties. </w:t>
      </w:r>
    </w:p>
    <w:p w14:paraId="435F352E" w14:textId="77777777" w:rsidR="00901D30" w:rsidRPr="009D4D3C" w:rsidRDefault="00901D30" w:rsidP="00901D30">
      <w:pPr>
        <w:pStyle w:val="xmsonormal"/>
        <w:rPr>
          <w:rFonts w:ascii="Arial" w:hAnsi="Arial" w:cs="Arial"/>
          <w:sz w:val="24"/>
          <w:szCs w:val="24"/>
        </w:rPr>
      </w:pPr>
      <w:r w:rsidRPr="009D4D3C">
        <w:rPr>
          <w:rFonts w:ascii="Arial" w:hAnsi="Arial" w:cs="Arial"/>
          <w:color w:val="000000"/>
          <w:sz w:val="24"/>
          <w:szCs w:val="24"/>
        </w:rPr>
        <w:t> </w:t>
      </w:r>
    </w:p>
    <w:p w14:paraId="3687F8A9" w14:textId="77777777" w:rsidR="00901D30" w:rsidRPr="009D4D3C" w:rsidRDefault="00901D30" w:rsidP="00901D30">
      <w:pPr>
        <w:pStyle w:val="xmsonormal"/>
        <w:rPr>
          <w:rFonts w:ascii="Arial" w:hAnsi="Arial" w:cs="Arial"/>
          <w:sz w:val="24"/>
          <w:szCs w:val="24"/>
        </w:rPr>
      </w:pPr>
      <w:r w:rsidRPr="009D4D3C">
        <w:rPr>
          <w:rFonts w:ascii="Arial" w:hAnsi="Arial" w:cs="Arial"/>
          <w:b/>
          <w:bCs/>
          <w:color w:val="000000"/>
          <w:sz w:val="24"/>
          <w:szCs w:val="24"/>
        </w:rPr>
        <w:t>Objectives:</w:t>
      </w:r>
    </w:p>
    <w:p w14:paraId="195B38CC" w14:textId="77777777" w:rsidR="00901D30" w:rsidRPr="009D4D3C" w:rsidRDefault="00901D30" w:rsidP="00901D30">
      <w:pPr>
        <w:pStyle w:val="xmsonormal"/>
        <w:rPr>
          <w:rFonts w:ascii="Arial" w:hAnsi="Arial" w:cs="Arial"/>
          <w:sz w:val="24"/>
          <w:szCs w:val="24"/>
        </w:rPr>
      </w:pPr>
      <w:r w:rsidRPr="009D4D3C">
        <w:rPr>
          <w:rFonts w:ascii="Arial" w:hAnsi="Arial" w:cs="Arial"/>
          <w:color w:val="000000"/>
          <w:sz w:val="24"/>
          <w:szCs w:val="24"/>
        </w:rPr>
        <w:t>By the end of the presentation delegates will be able to:</w:t>
      </w:r>
    </w:p>
    <w:p w14:paraId="5B9EB5EF" w14:textId="77777777" w:rsidR="00901D30" w:rsidRPr="009D4D3C" w:rsidRDefault="00901D30" w:rsidP="00901D30">
      <w:pPr>
        <w:pStyle w:val="xmsonormal"/>
        <w:numPr>
          <w:ilvl w:val="0"/>
          <w:numId w:val="8"/>
        </w:numPr>
        <w:rPr>
          <w:rFonts w:ascii="Arial" w:eastAsia="Times New Roman" w:hAnsi="Arial" w:cs="Arial"/>
          <w:color w:val="000000"/>
          <w:sz w:val="24"/>
          <w:szCs w:val="24"/>
        </w:rPr>
      </w:pPr>
      <w:r w:rsidRPr="009D4D3C">
        <w:rPr>
          <w:rFonts w:ascii="Arial" w:eastAsia="Times New Roman" w:hAnsi="Arial" w:cs="Arial"/>
          <w:color w:val="000000"/>
          <w:sz w:val="24"/>
          <w:szCs w:val="24"/>
        </w:rPr>
        <w:t>Define dysphagia and recognise common causes, signs, symptoms and associated risks.</w:t>
      </w:r>
    </w:p>
    <w:p w14:paraId="72B68B21" w14:textId="77777777" w:rsidR="00901D30" w:rsidRPr="009D4D3C" w:rsidRDefault="00901D30" w:rsidP="00901D30">
      <w:pPr>
        <w:pStyle w:val="xmsonormal"/>
        <w:numPr>
          <w:ilvl w:val="0"/>
          <w:numId w:val="9"/>
        </w:numPr>
        <w:rPr>
          <w:rFonts w:ascii="Arial" w:eastAsia="Times New Roman" w:hAnsi="Arial" w:cs="Arial"/>
          <w:color w:val="000000"/>
          <w:sz w:val="24"/>
          <w:szCs w:val="24"/>
        </w:rPr>
      </w:pPr>
      <w:r w:rsidRPr="009D4D3C">
        <w:rPr>
          <w:rFonts w:ascii="Arial" w:eastAsia="Times New Roman" w:hAnsi="Arial" w:cs="Arial"/>
          <w:color w:val="000000"/>
          <w:sz w:val="24"/>
          <w:szCs w:val="24"/>
        </w:rPr>
        <w:t>Explain why dysphagia is important in dentistry, including aspiration risk, oral disease burden, and treatment considerations. </w:t>
      </w:r>
    </w:p>
    <w:p w14:paraId="6004741C" w14:textId="77777777" w:rsidR="00901D30" w:rsidRPr="009D4D3C" w:rsidRDefault="00901D30" w:rsidP="00901D30">
      <w:pPr>
        <w:pStyle w:val="xmsonormal"/>
        <w:numPr>
          <w:ilvl w:val="0"/>
          <w:numId w:val="10"/>
        </w:numPr>
        <w:rPr>
          <w:rFonts w:ascii="Arial" w:eastAsia="Times New Roman" w:hAnsi="Arial" w:cs="Arial"/>
          <w:color w:val="000000"/>
          <w:sz w:val="24"/>
          <w:szCs w:val="24"/>
        </w:rPr>
      </w:pPr>
      <w:r w:rsidRPr="009D4D3C">
        <w:rPr>
          <w:rFonts w:ascii="Arial" w:eastAsia="Times New Roman" w:hAnsi="Arial" w:cs="Arial"/>
          <w:color w:val="000000"/>
          <w:sz w:val="24"/>
          <w:szCs w:val="24"/>
        </w:rPr>
        <w:t>Identify the key updates within the new guidance, including mouthcare algorithms, referral pathways, sedation considerations, and risk assessment principles. </w:t>
      </w:r>
    </w:p>
    <w:p w14:paraId="25E75195" w14:textId="77777777" w:rsidR="00901D30" w:rsidRPr="009D4D3C" w:rsidRDefault="00901D30" w:rsidP="00901D30">
      <w:pPr>
        <w:pStyle w:val="xmsonormal"/>
        <w:numPr>
          <w:ilvl w:val="0"/>
          <w:numId w:val="11"/>
        </w:numPr>
        <w:rPr>
          <w:rFonts w:ascii="Arial" w:eastAsia="Times New Roman" w:hAnsi="Arial" w:cs="Arial"/>
          <w:color w:val="000000"/>
          <w:sz w:val="24"/>
          <w:szCs w:val="24"/>
        </w:rPr>
      </w:pPr>
      <w:r w:rsidRPr="009D4D3C">
        <w:rPr>
          <w:rFonts w:ascii="Arial" w:eastAsia="Times New Roman" w:hAnsi="Arial" w:cs="Arial"/>
          <w:color w:val="000000"/>
          <w:sz w:val="24"/>
          <w:szCs w:val="24"/>
        </w:rPr>
        <w:t>Apply practical strategies to adapt dental care safely for patients with dysphagia in a range of clinical environments.</w:t>
      </w:r>
    </w:p>
    <w:p w14:paraId="36317AD3" w14:textId="77777777" w:rsidR="00901D30" w:rsidRPr="009D4D3C" w:rsidRDefault="00901D30" w:rsidP="00901D30">
      <w:pPr>
        <w:pStyle w:val="xmsonormal"/>
        <w:numPr>
          <w:ilvl w:val="0"/>
          <w:numId w:val="12"/>
        </w:numPr>
        <w:rPr>
          <w:rFonts w:ascii="Arial" w:eastAsia="Times New Roman" w:hAnsi="Arial" w:cs="Arial"/>
          <w:color w:val="000000"/>
          <w:sz w:val="24"/>
          <w:szCs w:val="24"/>
        </w:rPr>
      </w:pPr>
      <w:r w:rsidRPr="009D4D3C">
        <w:rPr>
          <w:rFonts w:ascii="Arial" w:eastAsia="Times New Roman" w:hAnsi="Arial" w:cs="Arial"/>
          <w:color w:val="000000"/>
          <w:sz w:val="24"/>
          <w:szCs w:val="24"/>
        </w:rPr>
        <w:t>Recognise when to involve Speech and Language Therapy and other professionals to optimise patient outcomes.</w:t>
      </w:r>
    </w:p>
    <w:p w14:paraId="2341C540" w14:textId="77777777" w:rsidR="00476B39" w:rsidRPr="009D4D3C" w:rsidRDefault="00476B39">
      <w:pPr>
        <w:rPr>
          <w:rFonts w:ascii="Arial" w:hAnsi="Arial" w:cs="Arial"/>
          <w:sz w:val="24"/>
          <w:szCs w:val="24"/>
        </w:rPr>
      </w:pPr>
    </w:p>
    <w:p w14:paraId="2D38DE80" w14:textId="77777777" w:rsidR="00476B39" w:rsidRPr="009D4D3C" w:rsidRDefault="00476B39">
      <w:pPr>
        <w:rPr>
          <w:rFonts w:ascii="Arial" w:hAnsi="Arial" w:cs="Arial"/>
          <w:sz w:val="24"/>
          <w:szCs w:val="24"/>
        </w:rPr>
      </w:pPr>
    </w:p>
    <w:sectPr w:rsidR="00476B39" w:rsidRPr="009D4D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812DD80"/>
    <w:lvl w:ilvl="0">
      <w:start w:val="1"/>
      <w:numFmt w:val="decimal"/>
      <w:pStyle w:val="ListNumber"/>
      <w:lvlText w:val="%1."/>
      <w:lvlJc w:val="left"/>
      <w:pPr>
        <w:tabs>
          <w:tab w:val="num" w:pos="360"/>
        </w:tabs>
        <w:ind w:left="360" w:hanging="360"/>
      </w:pPr>
    </w:lvl>
  </w:abstractNum>
  <w:abstractNum w:abstractNumId="1" w15:restartNumberingAfterBreak="0">
    <w:nsid w:val="130F6451"/>
    <w:multiLevelType w:val="multilevel"/>
    <w:tmpl w:val="753A9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7B0AD6"/>
    <w:multiLevelType w:val="multilevel"/>
    <w:tmpl w:val="D722B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BE5D5E"/>
    <w:multiLevelType w:val="hybridMultilevel"/>
    <w:tmpl w:val="3168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C3D66"/>
    <w:multiLevelType w:val="multilevel"/>
    <w:tmpl w:val="781EB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6E3257"/>
    <w:multiLevelType w:val="multilevel"/>
    <w:tmpl w:val="05BAF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FE7856"/>
    <w:multiLevelType w:val="hybridMultilevel"/>
    <w:tmpl w:val="B37C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446E41"/>
    <w:multiLevelType w:val="multilevel"/>
    <w:tmpl w:val="214E2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444910"/>
    <w:multiLevelType w:val="multilevel"/>
    <w:tmpl w:val="41E2E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B5568B"/>
    <w:multiLevelType w:val="hybridMultilevel"/>
    <w:tmpl w:val="C9A43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3E3F8F"/>
    <w:multiLevelType w:val="multilevel"/>
    <w:tmpl w:val="1E7E35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DA68DF"/>
    <w:multiLevelType w:val="multilevel"/>
    <w:tmpl w:val="E76CD8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52744C"/>
    <w:multiLevelType w:val="multilevel"/>
    <w:tmpl w:val="B9709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83706120">
    <w:abstractNumId w:val="5"/>
  </w:num>
  <w:num w:numId="2" w16cid:durableId="1221558161">
    <w:abstractNumId w:val="0"/>
  </w:num>
  <w:num w:numId="3" w16cid:durableId="1870872958">
    <w:abstractNumId w:val="6"/>
  </w:num>
  <w:num w:numId="4" w16cid:durableId="1932616405">
    <w:abstractNumId w:val="9"/>
  </w:num>
  <w:num w:numId="5" w16cid:durableId="2018189757">
    <w:abstractNumId w:val="4"/>
  </w:num>
  <w:num w:numId="6" w16cid:durableId="1006858054">
    <w:abstractNumId w:val="11"/>
  </w:num>
  <w:num w:numId="7" w16cid:durableId="1683120542">
    <w:abstractNumId w:val="10"/>
  </w:num>
  <w:num w:numId="8" w16cid:durableId="1921131379">
    <w:abstractNumId w:val="7"/>
  </w:num>
  <w:num w:numId="9" w16cid:durableId="1422410440">
    <w:abstractNumId w:val="2"/>
  </w:num>
  <w:num w:numId="10" w16cid:durableId="1674919964">
    <w:abstractNumId w:val="1"/>
  </w:num>
  <w:num w:numId="11" w16cid:durableId="130095006">
    <w:abstractNumId w:val="8"/>
  </w:num>
  <w:num w:numId="12" w16cid:durableId="1034114833">
    <w:abstractNumId w:val="12"/>
  </w:num>
  <w:num w:numId="13" w16cid:durableId="205529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E4"/>
    <w:rsid w:val="001D25A0"/>
    <w:rsid w:val="001D736E"/>
    <w:rsid w:val="003F3491"/>
    <w:rsid w:val="00476B39"/>
    <w:rsid w:val="005A66A9"/>
    <w:rsid w:val="00753AAD"/>
    <w:rsid w:val="00901D30"/>
    <w:rsid w:val="009820FE"/>
    <w:rsid w:val="009B35D0"/>
    <w:rsid w:val="009D4D3C"/>
    <w:rsid w:val="00A43518"/>
    <w:rsid w:val="00B03AE0"/>
    <w:rsid w:val="00F7012B"/>
    <w:rsid w:val="00F82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6DE2"/>
  <w15:chartTrackingRefBased/>
  <w15:docId w15:val="{B937FCE6-31B7-4EDF-9477-C1E23BC0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BE4"/>
    <w:pPr>
      <w:spacing w:after="0" w:line="240" w:lineRule="auto"/>
    </w:pPr>
    <w:rPr>
      <w:rFonts w:ascii="Calibri" w:hAnsi="Calibri" w:cs="Calibri"/>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9B35D0"/>
    <w:pPr>
      <w:numPr>
        <w:numId w:val="2"/>
      </w:numPr>
      <w:tabs>
        <w:tab w:val="clear" w:pos="360"/>
      </w:tabs>
      <w:spacing w:after="200" w:line="276" w:lineRule="auto"/>
      <w:ind w:left="0" w:firstLine="0"/>
      <w:contextualSpacing/>
    </w:pPr>
    <w:rPr>
      <w:rFonts w:ascii="Arial" w:eastAsiaTheme="minorEastAsia" w:hAnsi="Arial" w:cstheme="minorBidi"/>
      <w:lang w:eastAsia="en-US"/>
    </w:rPr>
  </w:style>
  <w:style w:type="paragraph" w:styleId="ListParagraph">
    <w:name w:val="List Paragraph"/>
    <w:basedOn w:val="Normal"/>
    <w:uiPriority w:val="34"/>
    <w:qFormat/>
    <w:rsid w:val="009B35D0"/>
    <w:pPr>
      <w:ind w:left="720"/>
      <w:contextualSpacing/>
    </w:pPr>
  </w:style>
  <w:style w:type="paragraph" w:customStyle="1" w:styleId="xmsonormal">
    <w:name w:val="x_msonormal"/>
    <w:basedOn w:val="Normal"/>
    <w:rsid w:val="00901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41009">
      <w:bodyDiv w:val="1"/>
      <w:marLeft w:val="0"/>
      <w:marRight w:val="0"/>
      <w:marTop w:val="0"/>
      <w:marBottom w:val="0"/>
      <w:divBdr>
        <w:top w:val="none" w:sz="0" w:space="0" w:color="auto"/>
        <w:left w:val="none" w:sz="0" w:space="0" w:color="auto"/>
        <w:bottom w:val="none" w:sz="0" w:space="0" w:color="auto"/>
        <w:right w:val="none" w:sz="0" w:space="0" w:color="auto"/>
      </w:divBdr>
    </w:div>
    <w:div w:id="1457332558">
      <w:bodyDiv w:val="1"/>
      <w:marLeft w:val="0"/>
      <w:marRight w:val="0"/>
      <w:marTop w:val="0"/>
      <w:marBottom w:val="0"/>
      <w:divBdr>
        <w:top w:val="none" w:sz="0" w:space="0" w:color="auto"/>
        <w:left w:val="none" w:sz="0" w:space="0" w:color="auto"/>
        <w:bottom w:val="none" w:sz="0" w:space="0" w:color="auto"/>
        <w:right w:val="none" w:sz="0" w:space="0" w:color="auto"/>
      </w:divBdr>
    </w:div>
    <w:div w:id="1775856779">
      <w:bodyDiv w:val="1"/>
      <w:marLeft w:val="0"/>
      <w:marRight w:val="0"/>
      <w:marTop w:val="0"/>
      <w:marBottom w:val="0"/>
      <w:divBdr>
        <w:top w:val="none" w:sz="0" w:space="0" w:color="auto"/>
        <w:left w:val="none" w:sz="0" w:space="0" w:color="auto"/>
        <w:bottom w:val="none" w:sz="0" w:space="0" w:color="auto"/>
        <w:right w:val="none" w:sz="0" w:space="0" w:color="auto"/>
      </w:divBdr>
    </w:div>
    <w:div w:id="1793086694">
      <w:bodyDiv w:val="1"/>
      <w:marLeft w:val="0"/>
      <w:marRight w:val="0"/>
      <w:marTop w:val="0"/>
      <w:marBottom w:val="0"/>
      <w:divBdr>
        <w:top w:val="none" w:sz="0" w:space="0" w:color="auto"/>
        <w:left w:val="none" w:sz="0" w:space="0" w:color="auto"/>
        <w:bottom w:val="none" w:sz="0" w:space="0" w:color="auto"/>
        <w:right w:val="none" w:sz="0" w:space="0" w:color="auto"/>
      </w:divBdr>
    </w:div>
    <w:div w:id="184701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Boynton, Camilla Mclean</dc:creator>
  <cp:keywords/>
  <dc:description/>
  <cp:lastModifiedBy>Briony Campbell-Ross</cp:lastModifiedBy>
  <cp:revision>7</cp:revision>
  <dcterms:created xsi:type="dcterms:W3CDTF">2026-05-09T23:01:00Z</dcterms:created>
  <dcterms:modified xsi:type="dcterms:W3CDTF">2026-06-15T18:43:00Z</dcterms:modified>
</cp:coreProperties>
</file>